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2" w:type="dxa"/>
        <w:tblInd w:w="-321"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5316"/>
      </w:tblGrid>
      <w:tr w:rsidR="007E2784" w:rsidRPr="007E2784" w:rsidTr="00525D32">
        <w:tc>
          <w:tcPr>
            <w:tcW w:w="4356" w:type="dxa"/>
            <w:shd w:val="clear" w:color="auto" w:fill="FFFFFF"/>
            <w:tcMar>
              <w:top w:w="0" w:type="dxa"/>
              <w:left w:w="105" w:type="dxa"/>
              <w:bottom w:w="0" w:type="dxa"/>
              <w:right w:w="105" w:type="dxa"/>
            </w:tcMar>
            <w:hideMark/>
          </w:tcPr>
          <w:p w:rsidR="007E2784" w:rsidRPr="0062108B" w:rsidRDefault="007E2784" w:rsidP="0062108B">
            <w:pPr>
              <w:spacing w:after="0" w:line="276" w:lineRule="auto"/>
              <w:jc w:val="center"/>
              <w:rPr>
                <w:rFonts w:ascii="Arial" w:eastAsia="Times New Roman" w:hAnsi="Arial" w:cs="Arial"/>
                <w:color w:val="333333"/>
                <w:sz w:val="26"/>
                <w:szCs w:val="26"/>
              </w:rPr>
            </w:pPr>
            <w:r w:rsidRPr="0062108B">
              <w:rPr>
                <w:rFonts w:eastAsia="Times New Roman" w:cs="Times New Roman"/>
                <w:color w:val="333333"/>
                <w:sz w:val="26"/>
                <w:szCs w:val="26"/>
              </w:rPr>
              <w:t>PHÒNG GD&amp;ĐT ĐIỆN BIÊN ĐÔNG</w:t>
            </w:r>
          </w:p>
          <w:p w:rsidR="007E2784" w:rsidRPr="0062108B" w:rsidRDefault="007E2784" w:rsidP="0062108B">
            <w:pPr>
              <w:spacing w:after="0" w:line="276" w:lineRule="auto"/>
              <w:jc w:val="center"/>
              <w:rPr>
                <w:rFonts w:ascii="Arial" w:eastAsia="Times New Roman" w:hAnsi="Arial" w:cs="Arial"/>
                <w:color w:val="333333"/>
                <w:sz w:val="26"/>
                <w:szCs w:val="26"/>
              </w:rPr>
            </w:pPr>
            <w:r w:rsidRPr="0062108B">
              <w:rPr>
                <w:rFonts w:eastAsia="Times New Roman" w:cs="Times New Roman"/>
                <w:noProof/>
                <w:color w:val="333333"/>
                <w:sz w:val="26"/>
                <w:szCs w:val="26"/>
              </w:rPr>
              <mc:AlternateContent>
                <mc:Choice Requires="wps">
                  <w:drawing>
                    <wp:anchor distT="0" distB="0" distL="114300" distR="114300" simplePos="0" relativeHeight="251657728" behindDoc="0" locked="0" layoutInCell="1" allowOverlap="1" wp14:anchorId="2539CCDF" wp14:editId="3575455A">
                      <wp:simplePos x="0" y="0"/>
                      <wp:positionH relativeFrom="column">
                        <wp:posOffset>575310</wp:posOffset>
                      </wp:positionH>
                      <wp:positionV relativeFrom="paragraph">
                        <wp:posOffset>214581</wp:posOffset>
                      </wp:positionV>
                      <wp:extent cx="11671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67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8A4AE"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5.3pt,16.9pt" to="137.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61tQEAAMMDAAAOAAAAZHJzL2Uyb0RvYy54bWysU8GOEzEMvSPxD1HudGYWaUG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" strokecolor="#4472c4 [3204]" strokeweight=".5pt">
                      <v:stroke joinstyle="miter"/>
                    </v:line>
                  </w:pict>
                </mc:Fallback>
              </mc:AlternateContent>
            </w:r>
            <w:r w:rsidRPr="0062108B">
              <w:rPr>
                <w:rFonts w:eastAsia="Times New Roman" w:cs="Times New Roman"/>
                <w:b/>
                <w:bCs/>
                <w:color w:val="333333"/>
                <w:sz w:val="26"/>
                <w:szCs w:val="26"/>
              </w:rPr>
              <w:t>TRƯỜNG PTDTBT TH</w:t>
            </w:r>
            <w:r w:rsidR="0062108B" w:rsidRPr="0062108B">
              <w:rPr>
                <w:rFonts w:eastAsia="Times New Roman" w:cs="Times New Roman"/>
                <w:b/>
                <w:bCs/>
                <w:color w:val="333333"/>
                <w:sz w:val="26"/>
                <w:szCs w:val="26"/>
              </w:rPr>
              <w:t>CS</w:t>
            </w:r>
            <w:r w:rsidRPr="0062108B">
              <w:rPr>
                <w:rFonts w:eastAsia="Times New Roman" w:cs="Times New Roman"/>
                <w:b/>
                <w:bCs/>
                <w:color w:val="333333"/>
                <w:sz w:val="26"/>
                <w:szCs w:val="26"/>
              </w:rPr>
              <w:t xml:space="preserve"> </w:t>
            </w:r>
            <w:r w:rsidR="00525D32" w:rsidRPr="0062108B">
              <w:rPr>
                <w:rFonts w:eastAsia="Times New Roman" w:cs="Times New Roman"/>
                <w:b/>
                <w:bCs/>
                <w:color w:val="333333"/>
                <w:sz w:val="26"/>
                <w:szCs w:val="26"/>
              </w:rPr>
              <w:t>P</w:t>
            </w:r>
            <w:r w:rsidR="0062108B" w:rsidRPr="0062108B">
              <w:rPr>
                <w:rFonts w:eastAsia="Times New Roman" w:cs="Times New Roman"/>
                <w:b/>
                <w:bCs/>
                <w:color w:val="333333"/>
                <w:sz w:val="26"/>
                <w:szCs w:val="26"/>
              </w:rPr>
              <w:t>U</w:t>
            </w:r>
            <w:r w:rsidR="00525D32" w:rsidRPr="0062108B">
              <w:rPr>
                <w:rFonts w:eastAsia="Times New Roman" w:cs="Times New Roman"/>
                <w:b/>
                <w:bCs/>
                <w:color w:val="333333"/>
                <w:sz w:val="26"/>
                <w:szCs w:val="26"/>
              </w:rPr>
              <w:t xml:space="preserve"> NH</w:t>
            </w:r>
            <w:r w:rsidR="0062108B" w:rsidRPr="0062108B">
              <w:rPr>
                <w:rFonts w:eastAsia="Times New Roman" w:cs="Times New Roman"/>
                <w:b/>
                <w:bCs/>
                <w:color w:val="333333"/>
                <w:sz w:val="26"/>
                <w:szCs w:val="26"/>
              </w:rPr>
              <w:t>I</w:t>
            </w:r>
          </w:p>
          <w:p w:rsidR="007E2784" w:rsidRDefault="007E2784" w:rsidP="0062108B">
            <w:pPr>
              <w:spacing w:after="0" w:line="276" w:lineRule="auto"/>
              <w:jc w:val="both"/>
              <w:rPr>
                <w:rFonts w:eastAsia="Times New Roman" w:cs="Times New Roman"/>
                <w:color w:val="333333"/>
                <w:szCs w:val="28"/>
              </w:rPr>
            </w:pPr>
            <w:r w:rsidRPr="007E2784">
              <w:rPr>
                <w:rFonts w:eastAsia="Times New Roman" w:cs="Times New Roman"/>
                <w:color w:val="333333"/>
                <w:szCs w:val="28"/>
              </w:rPr>
              <w:t xml:space="preserve">          </w:t>
            </w:r>
          </w:p>
          <w:p w:rsidR="007E2784" w:rsidRPr="007E2784" w:rsidRDefault="007E2784" w:rsidP="00BB6860">
            <w:pPr>
              <w:spacing w:after="0" w:line="276" w:lineRule="auto"/>
              <w:jc w:val="center"/>
              <w:rPr>
                <w:rFonts w:ascii="Arial" w:eastAsia="Times New Roman" w:hAnsi="Arial" w:cs="Arial"/>
                <w:color w:val="333333"/>
                <w:sz w:val="20"/>
                <w:szCs w:val="20"/>
              </w:rPr>
            </w:pPr>
            <w:r w:rsidRPr="007E2784">
              <w:rPr>
                <w:rFonts w:eastAsia="Times New Roman" w:cs="Times New Roman"/>
                <w:color w:val="333333"/>
                <w:szCs w:val="28"/>
              </w:rPr>
              <w:t>Số:</w:t>
            </w:r>
            <w:r w:rsidR="00BB6860">
              <w:rPr>
                <w:rFonts w:eastAsia="Times New Roman" w:cs="Times New Roman"/>
                <w:color w:val="333333"/>
                <w:szCs w:val="28"/>
              </w:rPr>
              <w:t>41</w:t>
            </w:r>
            <w:r w:rsidRPr="007E2784">
              <w:rPr>
                <w:rFonts w:eastAsia="Times New Roman" w:cs="Times New Roman"/>
                <w:color w:val="333333"/>
                <w:szCs w:val="28"/>
              </w:rPr>
              <w:t>/KH-</w:t>
            </w:r>
            <w:r w:rsidR="00525D32">
              <w:rPr>
                <w:rFonts w:eastAsia="Times New Roman" w:cs="Times New Roman"/>
                <w:color w:val="333333"/>
                <w:szCs w:val="28"/>
              </w:rPr>
              <w:t xml:space="preserve">PTDTBT </w:t>
            </w:r>
            <w:r w:rsidRPr="007E2784">
              <w:rPr>
                <w:rFonts w:eastAsia="Times New Roman" w:cs="Times New Roman"/>
                <w:color w:val="333333"/>
                <w:szCs w:val="28"/>
              </w:rPr>
              <w:t>TH</w:t>
            </w:r>
            <w:r>
              <w:rPr>
                <w:rFonts w:eastAsia="Times New Roman" w:cs="Times New Roman"/>
                <w:color w:val="333333"/>
                <w:szCs w:val="28"/>
              </w:rPr>
              <w:t>PN</w:t>
            </w:r>
          </w:p>
        </w:tc>
        <w:tc>
          <w:tcPr>
            <w:tcW w:w="5316" w:type="dxa"/>
            <w:shd w:val="clear" w:color="auto" w:fill="FFFFFF"/>
            <w:tcMar>
              <w:top w:w="0" w:type="dxa"/>
              <w:left w:w="105" w:type="dxa"/>
              <w:bottom w:w="0" w:type="dxa"/>
              <w:right w:w="105" w:type="dxa"/>
            </w:tcMar>
            <w:hideMark/>
          </w:tcPr>
          <w:p w:rsidR="007E2784" w:rsidRPr="007E2784" w:rsidRDefault="007E2784" w:rsidP="0062108B">
            <w:pPr>
              <w:spacing w:after="0" w:line="276" w:lineRule="auto"/>
              <w:ind w:right="-165"/>
              <w:jc w:val="center"/>
              <w:rPr>
                <w:rFonts w:ascii="Arial" w:eastAsia="Times New Roman" w:hAnsi="Arial" w:cs="Arial"/>
                <w:color w:val="333333"/>
                <w:sz w:val="16"/>
                <w:szCs w:val="20"/>
              </w:rPr>
            </w:pPr>
            <w:r w:rsidRPr="007E2784">
              <w:rPr>
                <w:rFonts w:eastAsia="Times New Roman" w:cs="Times New Roman"/>
                <w:b/>
                <w:bCs/>
                <w:color w:val="333333"/>
                <w:sz w:val="24"/>
                <w:szCs w:val="28"/>
              </w:rPr>
              <w:t>CỘNG HÒA XÃ HỘI CHỦ NGHĨA VIỆT NAM</w:t>
            </w:r>
          </w:p>
          <w:p w:rsidR="007E2784" w:rsidRPr="007E2784" w:rsidRDefault="007E2784" w:rsidP="0062108B">
            <w:pPr>
              <w:spacing w:after="0" w:line="276" w:lineRule="auto"/>
              <w:jc w:val="center"/>
              <w:rPr>
                <w:rFonts w:eastAsia="Times New Roman" w:cs="Times New Roman"/>
                <w:b/>
                <w:bCs/>
                <w:color w:val="333333"/>
                <w:sz w:val="26"/>
                <w:szCs w:val="28"/>
              </w:rPr>
            </w:pPr>
            <w:r>
              <w:rPr>
                <w:rFonts w:eastAsia="Times New Roman" w:cs="Times New Roman"/>
                <w:i/>
                <w:iCs/>
                <w:noProof/>
                <w:color w:val="333333"/>
                <w:szCs w:val="28"/>
              </w:rPr>
              <mc:AlternateContent>
                <mc:Choice Requires="wps">
                  <w:drawing>
                    <wp:anchor distT="0" distB="0" distL="114300" distR="114300" simplePos="0" relativeHeight="251659776" behindDoc="0" locked="0" layoutInCell="1" allowOverlap="1" wp14:anchorId="6EF26C54" wp14:editId="6532BC2A">
                      <wp:simplePos x="0" y="0"/>
                      <wp:positionH relativeFrom="column">
                        <wp:posOffset>676226</wp:posOffset>
                      </wp:positionH>
                      <wp:positionV relativeFrom="paragraph">
                        <wp:posOffset>206375</wp:posOffset>
                      </wp:positionV>
                      <wp:extent cx="1898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9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EA27E"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3.25pt,16.25pt" to="202.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" strokecolor="#4472c4 [3204]" strokeweight=".5pt">
                      <v:stroke joinstyle="miter"/>
                    </v:line>
                  </w:pict>
                </mc:Fallback>
              </mc:AlternateContent>
            </w:r>
            <w:r w:rsidRPr="007E2784">
              <w:rPr>
                <w:rFonts w:eastAsia="Times New Roman" w:cs="Times New Roman"/>
                <w:b/>
                <w:bCs/>
                <w:color w:val="333333"/>
                <w:sz w:val="26"/>
                <w:szCs w:val="28"/>
              </w:rPr>
              <w:t>Độc lập - Tự do- Hạnh phúc</w:t>
            </w:r>
          </w:p>
          <w:p w:rsidR="007E2784" w:rsidRDefault="007E2784" w:rsidP="0062108B">
            <w:pPr>
              <w:spacing w:after="0" w:line="276" w:lineRule="auto"/>
              <w:jc w:val="center"/>
              <w:rPr>
                <w:rFonts w:eastAsia="Times New Roman" w:cs="Times New Roman"/>
                <w:i/>
                <w:iCs/>
                <w:color w:val="333333"/>
                <w:szCs w:val="28"/>
              </w:rPr>
            </w:pPr>
          </w:p>
          <w:p w:rsidR="007E2784" w:rsidRPr="007E2784" w:rsidRDefault="0062108B" w:rsidP="00F72972">
            <w:pPr>
              <w:spacing w:after="0" w:line="276" w:lineRule="auto"/>
              <w:jc w:val="right"/>
              <w:rPr>
                <w:rFonts w:ascii="Arial" w:eastAsia="Times New Roman" w:hAnsi="Arial" w:cs="Arial"/>
                <w:color w:val="333333"/>
                <w:sz w:val="20"/>
                <w:szCs w:val="20"/>
              </w:rPr>
            </w:pPr>
            <w:r>
              <w:rPr>
                <w:rFonts w:eastAsia="Times New Roman" w:cs="Times New Roman"/>
                <w:i/>
                <w:iCs/>
                <w:color w:val="333333"/>
                <w:szCs w:val="28"/>
              </w:rPr>
              <w:t>Pu Nhi</w:t>
            </w:r>
            <w:r w:rsidR="007E2784" w:rsidRPr="007E2784">
              <w:rPr>
                <w:rFonts w:eastAsia="Times New Roman" w:cs="Times New Roman"/>
                <w:i/>
                <w:iCs/>
                <w:color w:val="333333"/>
                <w:szCs w:val="28"/>
              </w:rPr>
              <w:t>, ngày </w:t>
            </w:r>
            <w:r w:rsidR="00F72972">
              <w:rPr>
                <w:rFonts w:eastAsia="Times New Roman" w:cs="Times New Roman"/>
                <w:i/>
                <w:iCs/>
                <w:color w:val="333333"/>
                <w:szCs w:val="28"/>
              </w:rPr>
              <w:t>15</w:t>
            </w:r>
            <w:r w:rsidR="007E2784" w:rsidRPr="007E2784">
              <w:rPr>
                <w:rFonts w:eastAsia="Times New Roman" w:cs="Times New Roman"/>
                <w:i/>
                <w:iCs/>
                <w:color w:val="333333"/>
                <w:szCs w:val="28"/>
              </w:rPr>
              <w:t xml:space="preserve"> tháng </w:t>
            </w:r>
            <w:r>
              <w:rPr>
                <w:rFonts w:eastAsia="Times New Roman" w:cs="Times New Roman"/>
                <w:i/>
                <w:iCs/>
                <w:color w:val="333333"/>
                <w:szCs w:val="28"/>
              </w:rPr>
              <w:t>9</w:t>
            </w:r>
            <w:r w:rsidR="007E2784">
              <w:rPr>
                <w:rFonts w:eastAsia="Times New Roman" w:cs="Times New Roman"/>
                <w:i/>
                <w:iCs/>
                <w:color w:val="333333"/>
                <w:szCs w:val="28"/>
              </w:rPr>
              <w:t xml:space="preserve"> </w:t>
            </w:r>
            <w:r w:rsidR="007E2784" w:rsidRPr="007E2784">
              <w:rPr>
                <w:rFonts w:eastAsia="Times New Roman" w:cs="Times New Roman"/>
                <w:i/>
                <w:iCs/>
                <w:color w:val="333333"/>
                <w:szCs w:val="28"/>
              </w:rPr>
              <w:t>năm 202</w:t>
            </w:r>
            <w:r w:rsidR="004E1676">
              <w:rPr>
                <w:rFonts w:eastAsia="Times New Roman" w:cs="Times New Roman"/>
                <w:i/>
                <w:iCs/>
                <w:color w:val="333333"/>
                <w:szCs w:val="28"/>
              </w:rPr>
              <w:t>2</w:t>
            </w:r>
          </w:p>
        </w:tc>
      </w:tr>
    </w:tbl>
    <w:p w:rsidR="007E2784" w:rsidRPr="007E2784" w:rsidRDefault="007E2784" w:rsidP="0062108B">
      <w:pPr>
        <w:shd w:val="clear" w:color="auto" w:fill="FFFFFF"/>
        <w:spacing w:after="0" w:line="276" w:lineRule="auto"/>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7E2784" w:rsidRPr="007E2784" w:rsidRDefault="007E2784" w:rsidP="0062108B">
      <w:pPr>
        <w:shd w:val="clear" w:color="auto" w:fill="FFFFFF"/>
        <w:spacing w:after="0" w:line="276" w:lineRule="auto"/>
        <w:jc w:val="center"/>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KẾ HOẠCH</w:t>
      </w:r>
    </w:p>
    <w:p w:rsidR="007E2784" w:rsidRDefault="007E2784" w:rsidP="0062108B">
      <w:pPr>
        <w:shd w:val="clear" w:color="auto" w:fill="FFFFFF"/>
        <w:spacing w:after="0" w:line="276" w:lineRule="auto"/>
        <w:jc w:val="center"/>
        <w:rPr>
          <w:rFonts w:eastAsia="Times New Roman" w:cs="Times New Roman"/>
          <w:b/>
          <w:bCs/>
          <w:color w:val="000000"/>
          <w:szCs w:val="28"/>
          <w:shd w:val="clear" w:color="auto" w:fill="FFFFFF"/>
        </w:rPr>
      </w:pPr>
      <w:r w:rsidRPr="007E2784">
        <w:rPr>
          <w:rFonts w:eastAsia="Times New Roman" w:cs="Times New Roman"/>
          <w:b/>
          <w:bCs/>
          <w:color w:val="000000"/>
          <w:szCs w:val="28"/>
          <w:shd w:val="clear" w:color="auto" w:fill="FFFFFF"/>
        </w:rPr>
        <w:t>Thực hiện quy chế công khai năm học 202</w:t>
      </w:r>
      <w:r w:rsidR="004E1676">
        <w:rPr>
          <w:rFonts w:eastAsia="Times New Roman" w:cs="Times New Roman"/>
          <w:b/>
          <w:bCs/>
          <w:color w:val="000000"/>
          <w:szCs w:val="28"/>
          <w:shd w:val="clear" w:color="auto" w:fill="FFFFFF"/>
        </w:rPr>
        <w:t>2</w:t>
      </w:r>
      <w:r w:rsidRPr="007E2784">
        <w:rPr>
          <w:rFonts w:eastAsia="Times New Roman" w:cs="Times New Roman"/>
          <w:b/>
          <w:bCs/>
          <w:color w:val="000000"/>
          <w:szCs w:val="28"/>
          <w:shd w:val="clear" w:color="auto" w:fill="FFFFFF"/>
        </w:rPr>
        <w:t>-202</w:t>
      </w:r>
      <w:r w:rsidR="004E1676">
        <w:rPr>
          <w:rFonts w:eastAsia="Times New Roman" w:cs="Times New Roman"/>
          <w:b/>
          <w:bCs/>
          <w:color w:val="000000"/>
          <w:szCs w:val="28"/>
          <w:shd w:val="clear" w:color="auto" w:fill="FFFFFF"/>
        </w:rPr>
        <w:t>3</w:t>
      </w:r>
    </w:p>
    <w:p w:rsidR="007E2784" w:rsidRPr="007E2784" w:rsidRDefault="007E2784" w:rsidP="0062108B">
      <w:pPr>
        <w:shd w:val="clear" w:color="auto" w:fill="FFFFFF"/>
        <w:spacing w:after="0" w:line="276" w:lineRule="auto"/>
        <w:jc w:val="center"/>
        <w:rPr>
          <w:rFonts w:ascii="Arial" w:eastAsia="Times New Roman" w:hAnsi="Arial" w:cs="Arial"/>
          <w:color w:val="333333"/>
          <w:sz w:val="20"/>
          <w:szCs w:val="20"/>
        </w:rPr>
      </w:pPr>
    </w:p>
    <w:p w:rsid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rPr>
        <w:t>          Căn cứ Thông tư số 36/2017/TT- BGDĐT ngày 28 tháng 12 năm 2017 của Bộ Giáo dục và Đào tạo về việc ban hành Quy chế thực hiện công khai đối với cơ sở giáo dục của hệ thống giáo dục quốc dân;</w:t>
      </w:r>
    </w:p>
    <w:p w:rsid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Căn cứ Thông tư số 61/2017/TT-BTC ngày 15 tháng 6 năm 2017; Thông tư 90/2018/TT-BTC ngày 28/9/2018 về việc hướng dẫn sửa đổi một số điều của Thông tư số 61/2017/TT-BTC ngày 15/6/2017 của Bộ Tài chính hướng dẫn thực hiện qui chế công khai tài chính đối với đơn vị dự toán ngân sách và các tổ chức được ngân sách nhà nước hỗ trợ;</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xml:space="preserve">Căn cứ công văn </w:t>
      </w:r>
      <w:r>
        <w:rPr>
          <w:rFonts w:eastAsia="Times New Roman" w:cs="Times New Roman"/>
          <w:color w:val="000000"/>
          <w:szCs w:val="28"/>
          <w:shd w:val="clear" w:color="auto" w:fill="FFFFFF"/>
        </w:rPr>
        <w:t>933/PGDĐT-CM ngày 05/10/2023 của Phòng Giáo dục và Đào tạo huyện Điện Biên Đông về việc đôn đốc thực hiện một số nội dung về quản lý chất lượng.</w:t>
      </w:r>
    </w:p>
    <w:p w:rsidR="007E2784" w:rsidRPr="007E2784" w:rsidRDefault="007E2784" w:rsidP="0062108B">
      <w:pPr>
        <w:shd w:val="clear" w:color="auto" w:fill="FFFFFF"/>
        <w:spacing w:after="0" w:line="276" w:lineRule="auto"/>
        <w:ind w:firstLine="567"/>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xml:space="preserve">Trường </w:t>
      </w:r>
      <w:r>
        <w:rPr>
          <w:rFonts w:eastAsia="Times New Roman" w:cs="Times New Roman"/>
          <w:color w:val="000000"/>
          <w:szCs w:val="28"/>
          <w:shd w:val="clear" w:color="auto" w:fill="FFFFFF"/>
        </w:rPr>
        <w:t xml:space="preserve">PTDTBT </w:t>
      </w:r>
      <w:r w:rsidR="0062108B">
        <w:rPr>
          <w:rFonts w:eastAsia="Times New Roman" w:cs="Times New Roman"/>
          <w:color w:val="000000"/>
          <w:szCs w:val="28"/>
          <w:shd w:val="clear" w:color="auto" w:fill="FFFFFF"/>
        </w:rPr>
        <w:t xml:space="preserve">THCS Pu Nhi </w:t>
      </w:r>
      <w:r w:rsidRPr="007E2784">
        <w:rPr>
          <w:rFonts w:eastAsia="Times New Roman" w:cs="Times New Roman"/>
          <w:color w:val="000000"/>
          <w:szCs w:val="28"/>
          <w:shd w:val="clear" w:color="auto" w:fill="FFFFFF"/>
        </w:rPr>
        <w:t>xây dựng kế hoạch triển khai thực hiện công khai năm học 2023- 2024 như sau:</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I. MỤC ĐÍCH YÊU CẦU</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 Mục đích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Thực hiện công khai trong nhà trường nhằm nâng cao tính minh bạch, phát huy dân chủ, tăng cường tính tự chủ và tự chịu trách nhiệm của nhà trường trong quản lý nguồn lực và đảm bảo chất lượng giáo dục để xã hội, nhân dân, cán bộ, giáo viên, nhân viên tham gia giám sát và đánh giá theo quy định của pháp luật.</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2. Yêu cầu</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Việc thực hiện công khai phải đảm bảo đầy đủ chính xác các nội dung, hình thức và thời điểm theo quy định.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II. NỘI DUNG</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 Các nội dung công khai</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1.1. Công khai cam kết chất lượng giáo dục và CLGD thực tế</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i/>
          <w:iCs/>
          <w:color w:val="000000"/>
          <w:szCs w:val="28"/>
          <w:shd w:val="clear" w:color="auto" w:fill="FFFFFF"/>
        </w:rPr>
        <w:t>a) Cam kết chất lượng giáo dục:</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xml:space="preserve">Điều kiện về đối tượng tuyển sinh vào lớp 1 và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trường, đội ngũ giáo viên, cán bộ quản lý và phương pháp quản lý nhà trường; kết quả </w:t>
      </w:r>
      <w:r w:rsidRPr="007E2784">
        <w:rPr>
          <w:rFonts w:eastAsia="Times New Roman" w:cs="Times New Roman"/>
          <w:color w:val="000000"/>
          <w:szCs w:val="28"/>
          <w:shd w:val="clear" w:color="auto" w:fill="FFFFFF"/>
        </w:rPr>
        <w:lastRenderedPageBreak/>
        <w:t>đạo đức, học tập, sức khỏe của học sinh dự kiến đạt được; khả năng học tập tiếp tục của học sinh </w:t>
      </w:r>
      <w:r w:rsidRPr="007E2784">
        <w:rPr>
          <w:rFonts w:eastAsia="Times New Roman" w:cs="Times New Roman"/>
          <w:i/>
          <w:iCs/>
          <w:color w:val="000000"/>
          <w:szCs w:val="28"/>
          <w:shd w:val="clear" w:color="auto" w:fill="FFFFFF"/>
        </w:rPr>
        <w:t>(Biểu mẫu 05 của Thông tư 36/2017).</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i/>
          <w:iCs/>
          <w:color w:val="000000"/>
          <w:szCs w:val="28"/>
          <w:shd w:val="clear" w:color="auto" w:fill="FFFFFF"/>
        </w:rPr>
        <w:t>b) Chất lượng giáo dục thực tế:</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Số học sinh xếp loại theo từng năng lực, phẩm chất, tổng hợp kết quả cuối năm học; tình hình sức khỏe của học sinh; số học sinh đạt giải các kỳ thi học sinh giỏi, số học sinh dự xét hoàn thành chương trình tiểu học, số học sinh được công nhận hoàn thành chương trình tiểu học </w:t>
      </w:r>
      <w:r w:rsidRPr="007E2784">
        <w:rPr>
          <w:rFonts w:eastAsia="Times New Roman" w:cs="Times New Roman"/>
          <w:i/>
          <w:iCs/>
          <w:color w:val="000000"/>
          <w:szCs w:val="28"/>
          <w:shd w:val="clear" w:color="auto" w:fill="FFFFFF"/>
        </w:rPr>
        <w:t>(Biểu mẫu 06 của Thông tư 36/2017).</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1.2. Công khai điều kiện đảm bảo chất lượng cơ sở giáo dục</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i/>
          <w:iCs/>
          <w:color w:val="000000"/>
          <w:szCs w:val="28"/>
          <w:shd w:val="clear" w:color="auto" w:fill="FFFFFF"/>
        </w:rPr>
        <w:t>a) Cơ sở vật chất:</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Số lượng, diện tích các loại phòng học, phòng chức năng, khối phòng phục vụ học tập......, tính bình quân trên một học sinh; số thiết bị dạy học đang sử dụng, tính bình quân trên một lớp </w:t>
      </w:r>
      <w:r w:rsidRPr="007E2784">
        <w:rPr>
          <w:rFonts w:eastAsia="Times New Roman" w:cs="Times New Roman"/>
          <w:i/>
          <w:iCs/>
          <w:color w:val="000000"/>
          <w:szCs w:val="28"/>
          <w:shd w:val="clear" w:color="auto" w:fill="FFFFFF"/>
        </w:rPr>
        <w:t>(Biểu mẫu 07 Thông tư 36/2017).</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i/>
          <w:iCs/>
          <w:color w:val="000000"/>
          <w:szCs w:val="28"/>
          <w:shd w:val="clear" w:color="auto" w:fill="FFFFFF"/>
        </w:rPr>
        <w:t>b) Đội ngũ nhà giáo, cán bộ quản lý và nhân viên:</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Số lượng, chức danh có phân biệt theo hình thức tuyển dụng và trình độ đào tạo </w:t>
      </w:r>
      <w:r w:rsidRPr="007E2784">
        <w:rPr>
          <w:rFonts w:eastAsia="Times New Roman" w:cs="Times New Roman"/>
          <w:i/>
          <w:iCs/>
          <w:color w:val="000000"/>
          <w:szCs w:val="28"/>
          <w:shd w:val="clear" w:color="auto" w:fill="FFFFFF"/>
        </w:rPr>
        <w:t>(Biểu mẫu 08 Thông tư 36/2017).</w:t>
      </w:r>
      <w:r w:rsidR="005A69C2">
        <w:rPr>
          <w:rFonts w:eastAsia="Times New Roman" w:cs="Times New Roman"/>
          <w:i/>
          <w:iCs/>
          <w:color w:val="000000"/>
          <w:szCs w:val="28"/>
          <w:shd w:val="clear" w:color="auto" w:fill="FFFFFF"/>
        </w:rPr>
        <w:t xml:space="preserve"> </w:t>
      </w:r>
      <w:r w:rsidRPr="007E2784">
        <w:rPr>
          <w:rFonts w:eastAsia="Times New Roman" w:cs="Times New Roman"/>
          <w:color w:val="000000"/>
          <w:szCs w:val="28"/>
          <w:shd w:val="clear" w:color="auto" w:fill="FFFFFF"/>
        </w:rPr>
        <w:t>Số lượng giáo viên, cán bộ quản lý và nhân viên được đào tạo, bồi dưỡng; hình thức, nội dung, trình độ và thời gian đào tạo và bồi dưỡng trong năm học và những năm tiếp theo.</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1.3. Công khai thu chi tài chính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Thực hiện quy chế công khai tài chính theo Thông tư số 61/2017/TT-BTC ngày 15 tháng 6 năm 2017 và Thông tư 90/2018/TT-BTC ngày 28/9/2018 về việc hướng dẫn sửa đổi một số điều của Thông tư số 61/2017/TT-BTC ngày 15/6/2017 của Bộ Tài chính.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a) Các khoản thu, tài trợ của phụ huynh học sinh, các nhà hảo tâm trong năm học 2023-2024.</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b) Ngân sách nhà nước cấp (theo phân bổ dự toán</w:t>
      </w:r>
      <w:r w:rsidR="005A69C2">
        <w:rPr>
          <w:rFonts w:eastAsia="Times New Roman" w:cs="Times New Roman"/>
          <w:color w:val="000000"/>
          <w:szCs w:val="28"/>
          <w:shd w:val="clear" w:color="auto" w:fill="FFFFFF"/>
        </w:rPr>
        <w:t xml:space="preserve"> Phòng GD&amp;ĐT</w:t>
      </w:r>
      <w:r w:rsidRPr="007E2784">
        <w:rPr>
          <w:rFonts w:eastAsia="Times New Roman" w:cs="Times New Roman"/>
          <w:color w:val="000000"/>
          <w:szCs w:val="28"/>
          <w:shd w:val="clear" w:color="auto" w:fill="FFFFFF"/>
        </w:rPr>
        <w:t xml:space="preserve"> cấp).</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xml:space="preserve">Các khoản chi trong năm học: các khoản chi lương, </w:t>
      </w:r>
      <w:r w:rsidR="005A69C2">
        <w:rPr>
          <w:rFonts w:eastAsia="Times New Roman" w:cs="Times New Roman"/>
          <w:color w:val="000000"/>
          <w:szCs w:val="28"/>
          <w:shd w:val="clear" w:color="auto" w:fill="FFFFFF"/>
        </w:rPr>
        <w:t>chi phụ cấp theo lương…</w:t>
      </w:r>
      <w:r w:rsidRPr="007E2784">
        <w:rPr>
          <w:rFonts w:eastAsia="Times New Roman" w:cs="Times New Roman"/>
          <w:color w:val="000000"/>
          <w:szCs w:val="28"/>
          <w:shd w:val="clear" w:color="auto" w:fill="FFFFFF"/>
        </w:rPr>
        <w:t>; mức thu nhập hàng tháng của giáo viên và cán bộ quản lý (mức cao nhất, bình quân và thấp nhất); mức chi thường xuyên/1 học sinh; chi đầu tư xây dựng, sửa chữa, mua sắm trang thiết bị.</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c) Chính sách và kết quả thực hiện chính sách hàng năm về trợ cấp và miễn, giảm các khoản đóng góp đối với người học thuộc diện được hưởng chính sách xã hội theo quy định.</w:t>
      </w:r>
    </w:p>
    <w:p w:rsidR="007E2784" w:rsidRDefault="007E2784" w:rsidP="0062108B">
      <w:pPr>
        <w:shd w:val="clear" w:color="auto" w:fill="FFFFFF"/>
        <w:spacing w:after="0" w:line="276" w:lineRule="auto"/>
        <w:ind w:firstLine="720"/>
        <w:jc w:val="both"/>
        <w:rPr>
          <w:rFonts w:eastAsia="Times New Roman" w:cs="Times New Roman"/>
          <w:color w:val="000000"/>
          <w:szCs w:val="28"/>
          <w:shd w:val="clear" w:color="auto" w:fill="FFFFFF"/>
        </w:rPr>
      </w:pPr>
      <w:r w:rsidRPr="007E2784">
        <w:rPr>
          <w:rFonts w:eastAsia="Times New Roman" w:cs="Times New Roman"/>
          <w:color w:val="000000"/>
          <w:szCs w:val="28"/>
          <w:shd w:val="clear" w:color="auto" w:fill="FFFFFF"/>
        </w:rPr>
        <w:t>Thực hiện niêm yết các biểu mẫu công khai dự toán, quyết toán thu chi tài chính theo quy định tại Thông tư 90/2018/TT-BTC ngày 28/9/2018.</w:t>
      </w:r>
    </w:p>
    <w:p w:rsidR="0062108B" w:rsidRPr="0062108B" w:rsidRDefault="0062108B" w:rsidP="0062108B">
      <w:pPr>
        <w:shd w:val="clear" w:color="auto" w:fill="FFFFFF"/>
        <w:spacing w:after="0" w:line="276" w:lineRule="auto"/>
        <w:ind w:firstLine="720"/>
        <w:jc w:val="both"/>
        <w:rPr>
          <w:rFonts w:eastAsia="Times New Roman" w:cs="Times New Roman"/>
          <w:color w:val="333333"/>
          <w:szCs w:val="28"/>
        </w:rPr>
      </w:pPr>
      <w:r w:rsidRPr="0062108B">
        <w:rPr>
          <w:rFonts w:eastAsia="Times New Roman" w:cs="Times New Roman"/>
          <w:color w:val="333333"/>
          <w:szCs w:val="28"/>
        </w:rPr>
        <w:t>d) Thực hiện công khai tài chính nấu ăn Bán trú hàng tháng.</w:t>
      </w:r>
    </w:p>
    <w:p w:rsidR="0062108B" w:rsidRPr="0062108B" w:rsidRDefault="0062108B" w:rsidP="0062108B">
      <w:pPr>
        <w:shd w:val="clear" w:color="auto" w:fill="FFFFFF"/>
        <w:spacing w:after="0" w:line="276" w:lineRule="auto"/>
        <w:ind w:firstLine="720"/>
        <w:jc w:val="both"/>
        <w:rPr>
          <w:rFonts w:eastAsia="Times New Roman" w:cs="Times New Roman"/>
          <w:color w:val="333333"/>
          <w:szCs w:val="28"/>
        </w:rPr>
      </w:pPr>
      <w:r w:rsidRPr="0062108B">
        <w:rPr>
          <w:rFonts w:eastAsia="Times New Roman" w:cs="Times New Roman"/>
          <w:color w:val="333333"/>
          <w:szCs w:val="28"/>
        </w:rPr>
        <w:t>Công khai nhà cung cấp; khẩu phần, định mức ăn, thực đơn ăn; số lượng học sinh ăn</w:t>
      </w:r>
      <w:r>
        <w:rPr>
          <w:rFonts w:eastAsia="Times New Roman" w:cs="Times New Roman"/>
          <w:color w:val="333333"/>
          <w:szCs w:val="28"/>
        </w:rPr>
        <w:t>.</w:t>
      </w:r>
    </w:p>
    <w:p w:rsidR="0062108B" w:rsidRPr="0062108B" w:rsidRDefault="0062108B" w:rsidP="0062108B">
      <w:pPr>
        <w:shd w:val="clear" w:color="auto" w:fill="FFFFFF"/>
        <w:spacing w:after="0" w:line="276" w:lineRule="auto"/>
        <w:ind w:firstLine="720"/>
        <w:jc w:val="both"/>
        <w:rPr>
          <w:rFonts w:eastAsia="Times New Roman" w:cs="Times New Roman"/>
          <w:color w:val="333333"/>
          <w:szCs w:val="28"/>
        </w:rPr>
      </w:pPr>
      <w:r w:rsidRPr="0062108B">
        <w:rPr>
          <w:rFonts w:eastAsia="Times New Roman" w:cs="Times New Roman"/>
          <w:color w:val="333333"/>
          <w:szCs w:val="28"/>
        </w:rPr>
        <w:t xml:space="preserve">Công khai thu chi, </w:t>
      </w:r>
      <w:r>
        <w:rPr>
          <w:rFonts w:eastAsia="Times New Roman" w:cs="Times New Roman"/>
          <w:color w:val="333333"/>
          <w:szCs w:val="28"/>
        </w:rPr>
        <w:t>tiền ăn thừa hàng tháng</w:t>
      </w:r>
    </w:p>
    <w:p w:rsidR="007E2784" w:rsidRPr="005A69C2"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5A69C2">
        <w:rPr>
          <w:rFonts w:eastAsia="Times New Roman" w:cs="Times New Roman"/>
          <w:b/>
          <w:bCs/>
          <w:iCs/>
          <w:color w:val="000000"/>
          <w:szCs w:val="28"/>
          <w:shd w:val="clear" w:color="auto" w:fill="FFFFFF"/>
        </w:rPr>
        <w:lastRenderedPageBreak/>
        <w:t>2. Về hình thức và thời điểm công khai</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Công khai tại các cuộc họp phụ huynh của Nhà trường.</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Công khai trong các cuộc họp của cán bộ giáo viên, nhân viên nhà trường vào đầu năm học, hàng tháng, hàng kỳ đảm bảo tính đầy đủ, chính xác và cập nhật thường xuyên khi có thông tin mới hoặc thay đổi.</w:t>
      </w:r>
    </w:p>
    <w:p w:rsidR="007E2784" w:rsidRPr="005A69C2" w:rsidRDefault="007E2784" w:rsidP="0062108B">
      <w:pPr>
        <w:shd w:val="clear" w:color="auto" w:fill="FFFFFF"/>
        <w:spacing w:after="0" w:line="276" w:lineRule="auto"/>
        <w:ind w:firstLine="720"/>
        <w:jc w:val="both"/>
        <w:rPr>
          <w:rFonts w:ascii="Arial" w:eastAsia="Times New Roman" w:hAnsi="Arial" w:cs="Arial"/>
          <w:color w:val="333333"/>
          <w:spacing w:val="-4"/>
          <w:sz w:val="20"/>
          <w:szCs w:val="20"/>
        </w:rPr>
      </w:pPr>
      <w:r w:rsidRPr="005A69C2">
        <w:rPr>
          <w:rFonts w:eastAsia="Times New Roman" w:cs="Times New Roman"/>
          <w:color w:val="000000"/>
          <w:spacing w:val="-4"/>
          <w:szCs w:val="28"/>
          <w:shd w:val="clear" w:color="auto" w:fill="FFFFFF"/>
        </w:rPr>
        <w:t>- Niêm yết </w:t>
      </w:r>
      <w:r w:rsidRPr="005A69C2">
        <w:rPr>
          <w:rFonts w:eastAsia="Times New Roman" w:cs="Times New Roman"/>
          <w:i/>
          <w:iCs/>
          <w:color w:val="000000"/>
          <w:spacing w:val="-4"/>
          <w:szCs w:val="28"/>
          <w:shd w:val="clear" w:color="auto" w:fill="FFFFFF"/>
        </w:rPr>
        <w:t>(có biên bản)</w:t>
      </w:r>
      <w:r w:rsidRPr="005A69C2">
        <w:rPr>
          <w:rFonts w:eastAsia="Times New Roman" w:cs="Times New Roman"/>
          <w:color w:val="000000"/>
          <w:spacing w:val="-4"/>
          <w:szCs w:val="28"/>
          <w:shd w:val="clear" w:color="auto" w:fill="FFFFFF"/>
        </w:rPr>
        <w:t> công khai tại bảng tin nhà trường hoặc phòng họp đảm bảo thuận tiện cho các đối tượng liên quan được biết. Trang Website nhà trường.</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Thời điểm cụ thể:</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Công khai cam kết chất lượng giáo dục của cơ sở giáo dục phổ thông (Biểu mẫu 05)</w:t>
      </w:r>
      <w:r w:rsidRPr="007E2784">
        <w:rPr>
          <w:rFonts w:eastAsia="Times New Roman" w:cs="Times New Roman"/>
          <w:b/>
          <w:bCs/>
          <w:color w:val="000000"/>
          <w:szCs w:val="28"/>
          <w:shd w:val="clear" w:color="auto" w:fill="FFFFFF"/>
        </w:rPr>
        <w:t> </w:t>
      </w:r>
      <w:r w:rsidRPr="007E2784">
        <w:rPr>
          <w:rFonts w:eastAsia="Times New Roman" w:cs="Times New Roman"/>
          <w:color w:val="000000"/>
          <w:szCs w:val="28"/>
          <w:shd w:val="clear" w:color="auto" w:fill="FFFFFF"/>
        </w:rPr>
        <w:t>vào Tháng 9 hằng năm, đảm bảo tính đầy đủ, chính xác và cập nhật khi có thông tin mới hoặc thay đổi.</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rPr>
        <w:t>          + Công khai thông tin chất</w:t>
      </w:r>
      <w:r w:rsidR="00006362">
        <w:rPr>
          <w:rFonts w:eastAsia="Times New Roman" w:cs="Times New Roman"/>
          <w:color w:val="000000"/>
          <w:szCs w:val="28"/>
        </w:rPr>
        <w:t xml:space="preserve"> </w:t>
      </w:r>
      <w:r w:rsidRPr="007E2784">
        <w:rPr>
          <w:rFonts w:eastAsia="Times New Roman" w:cs="Times New Roman"/>
          <w:color w:val="000000"/>
          <w:szCs w:val="28"/>
        </w:rPr>
        <w:t>lượng giáo dục tiểu học thực tế (Biểu mẫu 06)</w:t>
      </w:r>
      <w:r w:rsidRPr="007E2784">
        <w:rPr>
          <w:rFonts w:eastAsia="Times New Roman" w:cs="Times New Roman"/>
          <w:b/>
          <w:bCs/>
          <w:color w:val="000000"/>
          <w:szCs w:val="28"/>
        </w:rPr>
        <w:t> </w:t>
      </w:r>
      <w:r w:rsidRPr="007E2784">
        <w:rPr>
          <w:rFonts w:eastAsia="Times New Roman" w:cs="Times New Roman"/>
          <w:color w:val="000000"/>
          <w:szCs w:val="28"/>
        </w:rPr>
        <w:t>vào tháng 6 hằng năm, đảm bảo tính đầy đủ, chính xác và cập nhật khi có thông tin mới hoặc thay đổi.</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rPr>
        <w:t>          + Công khai thông tin cơ sở vật chất của cơ sở giáo dục tiểu học (Biểu mẫu 07)</w:t>
      </w:r>
      <w:r w:rsidRPr="007E2784">
        <w:rPr>
          <w:rFonts w:eastAsia="Times New Roman" w:cs="Times New Roman"/>
          <w:b/>
          <w:bCs/>
          <w:color w:val="000000"/>
          <w:szCs w:val="28"/>
        </w:rPr>
        <w:t> </w:t>
      </w:r>
      <w:r w:rsidRPr="007E2784">
        <w:rPr>
          <w:rFonts w:eastAsia="Times New Roman" w:cs="Times New Roman"/>
          <w:color w:val="000000"/>
          <w:szCs w:val="28"/>
        </w:rPr>
        <w:t>vào tháng 9 hằng năm, đảm bảo tính đầy đủ, chính xác và cập nhật khi có thông tin mới hoặc thay đổi.</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b/>
          <w:bCs/>
          <w:color w:val="000000"/>
          <w:szCs w:val="28"/>
        </w:rPr>
        <w:t>          + </w:t>
      </w:r>
      <w:r w:rsidRPr="007E2784">
        <w:rPr>
          <w:rFonts w:eastAsia="Times New Roman" w:cs="Times New Roman"/>
          <w:color w:val="000000"/>
          <w:szCs w:val="28"/>
        </w:rPr>
        <w:t>Công khai</w:t>
      </w:r>
      <w:r w:rsidRPr="007E2784">
        <w:rPr>
          <w:rFonts w:eastAsia="Times New Roman" w:cs="Times New Roman"/>
          <w:b/>
          <w:bCs/>
          <w:color w:val="000000"/>
          <w:szCs w:val="28"/>
        </w:rPr>
        <w:t> </w:t>
      </w:r>
      <w:r w:rsidRPr="007E2784">
        <w:rPr>
          <w:rFonts w:eastAsia="Times New Roman" w:cs="Times New Roman"/>
          <w:color w:val="000000"/>
          <w:szCs w:val="28"/>
        </w:rPr>
        <w:t>thông tin về đội ngũ nhà giáo, cán bộ quản lý và nhân viên của cơ sở giáo dục tiểu học (Biểu m</w:t>
      </w:r>
      <w:r w:rsidR="0017775F">
        <w:rPr>
          <w:rFonts w:eastAsia="Times New Roman" w:cs="Times New Roman"/>
          <w:color w:val="000000"/>
          <w:szCs w:val="28"/>
        </w:rPr>
        <w:t>ẫ</w:t>
      </w:r>
      <w:r w:rsidRPr="007E2784">
        <w:rPr>
          <w:rFonts w:eastAsia="Times New Roman" w:cs="Times New Roman"/>
          <w:color w:val="000000"/>
          <w:szCs w:val="28"/>
        </w:rPr>
        <w:t>u 08)</w:t>
      </w:r>
      <w:r w:rsidRPr="007E2784">
        <w:rPr>
          <w:rFonts w:eastAsia="Times New Roman" w:cs="Times New Roman"/>
          <w:b/>
          <w:bCs/>
          <w:color w:val="000000"/>
          <w:szCs w:val="28"/>
        </w:rPr>
        <w:t> </w:t>
      </w:r>
      <w:r w:rsidRPr="007E2784">
        <w:rPr>
          <w:rFonts w:eastAsia="Times New Roman" w:cs="Times New Roman"/>
          <w:color w:val="000000"/>
          <w:szCs w:val="28"/>
        </w:rPr>
        <w:t>vào tháng 8 hằng năm, đảm bảo tính đầy đủ, chính xác và cập nhật khi có thông tin mới hoặc thay đổi.</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 Đối với nội dung các khoản thu, tài trợ từ nguồn xã hội hóa trong năm học 2023 - 2024 và dự kiến cho năm học tiếp theo thực hiện công khai vào đầu năm học 2024-2025 và kết thúc năm học đó.</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 Ngân sách nhà nước cấp: Công khai dự toán vào tháng 1 hàng năm và khi có điều chỉnh bổ sung dự toán; Công khai quyết toán thu- chi năm trước vào tháng 1 hằng năm và quyết toán theo quý vào tháng 4,</w:t>
      </w:r>
      <w:r w:rsidR="009F6240">
        <w:rPr>
          <w:rFonts w:eastAsia="Times New Roman" w:cs="Times New Roman"/>
          <w:color w:val="000000"/>
          <w:szCs w:val="28"/>
          <w:shd w:val="clear" w:color="auto" w:fill="FFFFFF"/>
        </w:rPr>
        <w:t xml:space="preserve"> </w:t>
      </w:r>
      <w:r w:rsidRPr="007E2784">
        <w:rPr>
          <w:rFonts w:eastAsia="Times New Roman" w:cs="Times New Roman"/>
          <w:color w:val="000000"/>
          <w:szCs w:val="28"/>
          <w:shd w:val="clear" w:color="auto" w:fill="FFFFFF"/>
        </w:rPr>
        <w:t>7,10 tại các cuộc họp trường.</w:t>
      </w:r>
    </w:p>
    <w:p w:rsidR="007E2784" w:rsidRPr="007E2784" w:rsidRDefault="007E2784" w:rsidP="0062108B">
      <w:pPr>
        <w:shd w:val="clear" w:color="auto" w:fill="FFFFFF"/>
        <w:spacing w:after="0" w:line="276" w:lineRule="auto"/>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w:t>
      </w:r>
      <w:r w:rsidRPr="007E2784">
        <w:rPr>
          <w:rFonts w:eastAsia="Times New Roman" w:cs="Times New Roman"/>
          <w:b/>
          <w:bCs/>
          <w:color w:val="000000"/>
          <w:szCs w:val="28"/>
          <w:shd w:val="clear" w:color="auto" w:fill="FFFFFF"/>
        </w:rPr>
        <w:t>III. TỔ CHỨC THỰC HIỆN</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1. Thành lập ban chỉ đạo</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Thành lập Ban chỉ đạo thực hiện quy chế công khai cấp trường gồm các thành viên sau: Hiệu trưởng, các phó hiệu trưởng, Chủ tịch công đoàn, Tổ trưởng chuyên môn, Kế toán, Thư ký nhà trường.</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2. Tổ chức thực hiện</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Xây dựng kế hoạch thực hiện Thông tư số 36/2017/TT-BGDĐT ngày 28 tháng 12 năm 2017 của Bộ Giáo dục và Đào tạo.</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Thông qua Hội nghị CC, VC đầu năm học:</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GV đăng ký chất lượng môn dạy, chất lượng lớp chủ nhiệm và danh hiệu thi đua cá nhân.</w:t>
      </w:r>
    </w:p>
    <w:p w:rsidR="007E2784" w:rsidRPr="009F6240"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9F6240">
        <w:rPr>
          <w:rFonts w:eastAsia="Times New Roman" w:cs="Times New Roman"/>
          <w:color w:val="000000"/>
          <w:szCs w:val="28"/>
          <w:shd w:val="clear" w:color="auto" w:fill="FFFFFF"/>
        </w:rPr>
        <w:lastRenderedPageBreak/>
        <w:t>+ Tổ chuyên môn đăng ký chất lượng hoạt động của tổ và số lượng HS đạt giải trong các hội thi, kế hoạch bồi dưỡng GV, phương pháp nâng cao chất lượng giáo dục của tổ.</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Công đoàn, Liên đội phát động thi đua tạo không khí tích cực học tập, rèn luyện trong đội ngũ GV và HS.</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9F6240">
        <w:rPr>
          <w:rFonts w:eastAsia="Times New Roman" w:cs="Times New Roman"/>
          <w:color w:val="000000"/>
          <w:spacing w:val="-2"/>
          <w:szCs w:val="28"/>
          <w:shd w:val="clear" w:color="auto" w:fill="FFFFFF"/>
        </w:rPr>
        <w:t>- Tổng hợp kết quả học tập của HS vào cuối học kỳ và cuối năm học có so sánh đánh giá phân tích kết quả so với những năm học trước để thực hiện công khai</w:t>
      </w:r>
      <w:r w:rsidRPr="007E2784">
        <w:rPr>
          <w:rFonts w:eastAsia="Times New Roman" w:cs="Times New Roman"/>
          <w:color w:val="000000"/>
          <w:spacing w:val="-6"/>
          <w:szCs w:val="28"/>
          <w:shd w:val="clear" w:color="auto" w:fill="FFFFFF"/>
        </w:rPr>
        <w:t>.</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Thực hiện đánh giá phân loại GV hàng năm để thực hiện công khai chất lượng đội ngũ.</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Báo cáo về Phòng GD&amp;ĐT.</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b/>
          <w:bCs/>
          <w:color w:val="000000"/>
          <w:szCs w:val="28"/>
          <w:shd w:val="clear" w:color="auto" w:fill="FFFFFF"/>
        </w:rPr>
        <w:t>3. Phân công nhiệm vụ các thành viên ban chỉ đạo</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Hiệu trưởng: chịu trách nhiệm thực hiện quản lý và công khai đội ngũ, cán bộ quản lý, tài chính, tài sản, thực hiện kiểm định chất lượng giáo dục của đơn vị. Thực hiện công tác thi đua khen thưởng, động viên, giám sát, đôn đốc  các hoạt động công khai của đơn vị. Xây dựng kế hoạch, báo cáo, giải trình trước các cơ quan có thẩm quyền.</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Phó hiệu trưởng: chịu trách nhiệm thực hiện quản lý và công khai chất lượng giáo dục và chất lượng giáo dục thực tế, của đơn vị. Phối hợp cùng với Hiệu trưởng thực hiện kiểm định chất lượng giáo dục của đơn vị.</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pacing w:val="-4"/>
          <w:szCs w:val="28"/>
          <w:shd w:val="clear" w:color="auto" w:fill="FFFFFF"/>
        </w:rPr>
        <w:t>- Chủ tịch công đoàn: chịu trách nhiệm thực hiện quản lý và công khai về cơ sở vật chất và cùng với Hiệu trưởng thực hiện kiểm định chất lượng giáo dục của đơn vị.</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Tổ trưởng CM: Thực hiện thống kê kết quả giảng dạy và giáo dục của cá nhân, tổ, kết quả tự bồi dưỡng nâng cao trình độ, tự đánh giá phân loại giáo viên trong tổ hàng năm để thực hiện công khai theo quy định.</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Kế toán: Quyết toán thu, chi theo quy định, lưu giữ chứng từ tài chính khoa học để phục vụ cho công tác kiểm tra giám sát khi được yêu cầu.</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zCs w:val="28"/>
          <w:shd w:val="clear" w:color="auto" w:fill="FFFFFF"/>
        </w:rPr>
        <w:t>- Thư ký: Chịu trách nhiệm ghi biên bản các cuộc công khai, biên bản niêm yết công khai.</w:t>
      </w:r>
    </w:p>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eastAsia="Times New Roman" w:cs="Times New Roman"/>
          <w:color w:val="000000"/>
          <w:spacing w:val="6"/>
          <w:szCs w:val="28"/>
          <w:shd w:val="clear" w:color="auto" w:fill="FFFFFF"/>
        </w:rPr>
        <w:t xml:space="preserve">Trên đây là kế hoạch thực hiện quy chế công khai của trường </w:t>
      </w:r>
      <w:r w:rsidR="009F6240">
        <w:rPr>
          <w:rFonts w:eastAsia="Times New Roman" w:cs="Times New Roman"/>
          <w:color w:val="000000"/>
          <w:spacing w:val="6"/>
          <w:szCs w:val="28"/>
          <w:shd w:val="clear" w:color="auto" w:fill="FFFFFF"/>
        </w:rPr>
        <w:t xml:space="preserve">PTDTBT </w:t>
      </w:r>
      <w:r w:rsidR="0062108B">
        <w:rPr>
          <w:rFonts w:eastAsia="Times New Roman" w:cs="Times New Roman"/>
          <w:color w:val="000000"/>
          <w:spacing w:val="6"/>
          <w:szCs w:val="28"/>
          <w:shd w:val="clear" w:color="auto" w:fill="FFFFFF"/>
        </w:rPr>
        <w:t>THCS Pu Nhi</w:t>
      </w:r>
      <w:r w:rsidRPr="007E2784">
        <w:rPr>
          <w:rFonts w:eastAsia="Times New Roman" w:cs="Times New Roman"/>
          <w:color w:val="000000"/>
          <w:spacing w:val="6"/>
          <w:szCs w:val="28"/>
          <w:shd w:val="clear" w:color="auto" w:fill="FFFFFF"/>
        </w:rPr>
        <w:t xml:space="preserve"> năm học 2023-2024, yêu cầu các thành viên trong nhà trường triển khai, tổ chức, thực hiện nghiêm túc đúng quy định. Trong quá trình tổ chức có khó khăn vướng mắc báo cáo Hiệu trưởng xem xét giải quyết./.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34"/>
        <w:gridCol w:w="3965"/>
      </w:tblGrid>
      <w:tr w:rsidR="007E2784" w:rsidRPr="007E2784" w:rsidTr="007E2784">
        <w:trPr>
          <w:trHeight w:val="2010"/>
        </w:trPr>
        <w:tc>
          <w:tcPr>
            <w:tcW w:w="514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rsidR="007E2784" w:rsidRPr="0017775F" w:rsidRDefault="007E2784" w:rsidP="0062108B">
            <w:pPr>
              <w:spacing w:after="0" w:line="276" w:lineRule="auto"/>
              <w:jc w:val="both"/>
              <w:rPr>
                <w:rFonts w:ascii="Arial" w:eastAsia="Times New Roman" w:hAnsi="Arial" w:cs="Arial"/>
                <w:color w:val="333333"/>
                <w:sz w:val="24"/>
                <w:szCs w:val="24"/>
              </w:rPr>
            </w:pPr>
            <w:r w:rsidRPr="0017775F">
              <w:rPr>
                <w:rFonts w:eastAsia="Times New Roman" w:cs="Times New Roman"/>
                <w:b/>
                <w:bCs/>
                <w:iCs/>
                <w:color w:val="000000"/>
                <w:sz w:val="24"/>
                <w:szCs w:val="24"/>
              </w:rPr>
              <w:lastRenderedPageBreak/>
              <w:t>Nơi nhận:</w:t>
            </w:r>
          </w:p>
          <w:p w:rsidR="007E2784" w:rsidRPr="0017775F" w:rsidRDefault="007E2784" w:rsidP="0062108B">
            <w:pPr>
              <w:spacing w:after="0" w:line="276" w:lineRule="auto"/>
              <w:jc w:val="both"/>
              <w:rPr>
                <w:rFonts w:ascii="Arial" w:eastAsia="Times New Roman" w:hAnsi="Arial" w:cs="Arial"/>
                <w:color w:val="333333"/>
                <w:sz w:val="24"/>
                <w:szCs w:val="24"/>
              </w:rPr>
            </w:pPr>
            <w:r w:rsidRPr="0017775F">
              <w:rPr>
                <w:rFonts w:eastAsia="Times New Roman" w:cs="Times New Roman"/>
                <w:color w:val="000000"/>
                <w:sz w:val="24"/>
                <w:szCs w:val="24"/>
              </w:rPr>
              <w:t>- Phòng GD&amp;ĐT</w:t>
            </w:r>
            <w:r w:rsidR="0017775F" w:rsidRPr="0017775F">
              <w:rPr>
                <w:rFonts w:eastAsia="Times New Roman" w:cs="Times New Roman"/>
                <w:color w:val="000000"/>
                <w:sz w:val="24"/>
                <w:szCs w:val="24"/>
              </w:rPr>
              <w:t xml:space="preserve"> (B/c)</w:t>
            </w:r>
            <w:r w:rsidRPr="0017775F">
              <w:rPr>
                <w:rFonts w:eastAsia="Times New Roman" w:cs="Times New Roman"/>
                <w:color w:val="000000"/>
                <w:sz w:val="24"/>
                <w:szCs w:val="24"/>
              </w:rPr>
              <w:t>;</w:t>
            </w:r>
          </w:p>
          <w:p w:rsidR="007E2784" w:rsidRPr="0017775F" w:rsidRDefault="007E2784" w:rsidP="0062108B">
            <w:pPr>
              <w:spacing w:after="0" w:line="276" w:lineRule="auto"/>
              <w:jc w:val="both"/>
              <w:rPr>
                <w:rFonts w:ascii="Arial" w:eastAsia="Times New Roman" w:hAnsi="Arial" w:cs="Arial"/>
                <w:color w:val="333333"/>
                <w:sz w:val="24"/>
                <w:szCs w:val="24"/>
              </w:rPr>
            </w:pPr>
            <w:r w:rsidRPr="0017775F">
              <w:rPr>
                <w:rFonts w:eastAsia="Times New Roman" w:cs="Times New Roman"/>
                <w:color w:val="000000"/>
                <w:sz w:val="24"/>
                <w:szCs w:val="24"/>
              </w:rPr>
              <w:t>- CB,GV,</w:t>
            </w:r>
            <w:r w:rsidR="0017775F">
              <w:rPr>
                <w:rFonts w:eastAsia="Times New Roman" w:cs="Times New Roman"/>
                <w:color w:val="000000"/>
                <w:sz w:val="24"/>
                <w:szCs w:val="24"/>
              </w:rPr>
              <w:t xml:space="preserve"> </w:t>
            </w:r>
            <w:r w:rsidRPr="0017775F">
              <w:rPr>
                <w:rFonts w:eastAsia="Times New Roman" w:cs="Times New Roman"/>
                <w:color w:val="000000"/>
                <w:sz w:val="24"/>
                <w:szCs w:val="24"/>
              </w:rPr>
              <w:t>NV nhà trường;</w:t>
            </w:r>
          </w:p>
          <w:p w:rsidR="007E2784" w:rsidRPr="007E2784" w:rsidRDefault="007E2784" w:rsidP="0062108B">
            <w:pPr>
              <w:spacing w:after="0" w:line="276" w:lineRule="auto"/>
              <w:jc w:val="both"/>
              <w:rPr>
                <w:rFonts w:ascii="Arial" w:eastAsia="Times New Roman" w:hAnsi="Arial" w:cs="Arial"/>
                <w:color w:val="333333"/>
                <w:sz w:val="20"/>
                <w:szCs w:val="20"/>
              </w:rPr>
            </w:pPr>
            <w:r w:rsidRPr="0017775F">
              <w:rPr>
                <w:rFonts w:eastAsia="Times New Roman" w:cs="Times New Roman"/>
                <w:color w:val="000000"/>
                <w:sz w:val="24"/>
                <w:szCs w:val="24"/>
              </w:rPr>
              <w:t>- Lưu: VT.</w:t>
            </w:r>
          </w:p>
        </w:tc>
        <w:tc>
          <w:tcPr>
            <w:tcW w:w="403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rsidR="007E2784" w:rsidRPr="007E2784" w:rsidRDefault="007E2784" w:rsidP="0062108B">
            <w:pPr>
              <w:spacing w:after="0" w:line="276" w:lineRule="auto"/>
              <w:jc w:val="center"/>
              <w:rPr>
                <w:rFonts w:ascii="Arial" w:eastAsia="Times New Roman" w:hAnsi="Arial" w:cs="Arial"/>
                <w:color w:val="333333"/>
                <w:sz w:val="20"/>
                <w:szCs w:val="20"/>
              </w:rPr>
            </w:pPr>
            <w:r w:rsidRPr="007E2784">
              <w:rPr>
                <w:rFonts w:eastAsia="Times New Roman" w:cs="Times New Roman"/>
                <w:b/>
                <w:bCs/>
                <w:color w:val="000000"/>
                <w:szCs w:val="28"/>
              </w:rPr>
              <w:t>HIỆU TRƯỞNG</w:t>
            </w:r>
          </w:p>
          <w:p w:rsidR="007E2784" w:rsidRPr="00F72972" w:rsidRDefault="00F72972" w:rsidP="0062108B">
            <w:pPr>
              <w:spacing w:after="0" w:line="276" w:lineRule="auto"/>
              <w:jc w:val="center"/>
              <w:rPr>
                <w:rFonts w:eastAsia="Times New Roman" w:cs="Times New Roman"/>
                <w:color w:val="333333"/>
                <w:sz w:val="20"/>
                <w:szCs w:val="20"/>
              </w:rPr>
            </w:pPr>
            <w:r w:rsidRPr="00F72972">
              <w:rPr>
                <w:rFonts w:eastAsia="Times New Roman" w:cs="Times New Roman"/>
                <w:color w:val="333333"/>
                <w:sz w:val="20"/>
                <w:szCs w:val="20"/>
              </w:rPr>
              <w:t>(Đã kí)</w:t>
            </w:r>
            <w:r w:rsidR="007E2784" w:rsidRPr="00F72972">
              <w:rPr>
                <w:rFonts w:eastAsia="Times New Roman" w:cs="Times New Roman"/>
                <w:color w:val="333333"/>
                <w:sz w:val="20"/>
                <w:szCs w:val="20"/>
              </w:rPr>
              <w:t> </w:t>
            </w:r>
          </w:p>
          <w:p w:rsidR="007E2784" w:rsidRPr="007E2784" w:rsidRDefault="007E2784" w:rsidP="0062108B">
            <w:pPr>
              <w:spacing w:after="0" w:line="276" w:lineRule="auto"/>
              <w:jc w:val="center"/>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7E2784" w:rsidRDefault="007E2784" w:rsidP="0062108B">
            <w:pPr>
              <w:spacing w:after="0" w:line="276" w:lineRule="auto"/>
              <w:jc w:val="center"/>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9F6240" w:rsidRPr="007E2784" w:rsidRDefault="009F6240" w:rsidP="0062108B">
            <w:pPr>
              <w:spacing w:after="0" w:line="276" w:lineRule="auto"/>
              <w:jc w:val="center"/>
              <w:rPr>
                <w:rFonts w:ascii="Arial" w:eastAsia="Times New Roman" w:hAnsi="Arial" w:cs="Arial"/>
                <w:color w:val="333333"/>
                <w:sz w:val="20"/>
                <w:szCs w:val="20"/>
              </w:rPr>
            </w:pPr>
          </w:p>
          <w:p w:rsidR="008328D4" w:rsidRDefault="008328D4" w:rsidP="0062108B">
            <w:pPr>
              <w:spacing w:after="0" w:line="276" w:lineRule="auto"/>
              <w:jc w:val="center"/>
              <w:rPr>
                <w:rFonts w:ascii="Arial" w:eastAsia="Times New Roman" w:hAnsi="Arial" w:cs="Arial"/>
                <w:color w:val="333333"/>
                <w:sz w:val="20"/>
                <w:szCs w:val="20"/>
              </w:rPr>
            </w:pPr>
            <w:bookmarkStart w:id="0" w:name="_GoBack"/>
            <w:bookmarkEnd w:id="0"/>
          </w:p>
          <w:p w:rsidR="007E2784" w:rsidRPr="007E2784" w:rsidRDefault="007E2784" w:rsidP="0062108B">
            <w:pPr>
              <w:spacing w:after="0" w:line="276" w:lineRule="auto"/>
              <w:jc w:val="center"/>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7E2784" w:rsidRPr="007E2784" w:rsidRDefault="0062108B" w:rsidP="0062108B">
            <w:pPr>
              <w:spacing w:after="0" w:line="276" w:lineRule="auto"/>
              <w:jc w:val="center"/>
              <w:rPr>
                <w:rFonts w:ascii="Arial" w:eastAsia="Times New Roman" w:hAnsi="Arial" w:cs="Arial"/>
                <w:color w:val="333333"/>
                <w:sz w:val="20"/>
                <w:szCs w:val="20"/>
              </w:rPr>
            </w:pPr>
            <w:r>
              <w:rPr>
                <w:rFonts w:eastAsia="Times New Roman" w:cs="Times New Roman"/>
                <w:b/>
                <w:bCs/>
                <w:color w:val="000000"/>
                <w:szCs w:val="28"/>
              </w:rPr>
              <w:t>Hoàng Quốc Huy</w:t>
            </w:r>
          </w:p>
        </w:tc>
      </w:tr>
    </w:tbl>
    <w:p w:rsidR="007E2784" w:rsidRPr="007E2784" w:rsidRDefault="007E2784" w:rsidP="0062108B">
      <w:pPr>
        <w:shd w:val="clear" w:color="auto" w:fill="FFFFFF"/>
        <w:spacing w:after="0" w:line="276" w:lineRule="auto"/>
        <w:ind w:firstLine="720"/>
        <w:jc w:val="both"/>
        <w:rPr>
          <w:rFonts w:ascii="Arial" w:eastAsia="Times New Roman" w:hAnsi="Arial" w:cs="Arial"/>
          <w:color w:val="333333"/>
          <w:sz w:val="20"/>
          <w:szCs w:val="20"/>
        </w:rPr>
      </w:pPr>
      <w:r w:rsidRPr="007E2784">
        <w:rPr>
          <w:rFonts w:ascii="Arial" w:eastAsia="Times New Roman" w:hAnsi="Arial" w:cs="Arial"/>
          <w:color w:val="333333"/>
          <w:sz w:val="20"/>
          <w:szCs w:val="20"/>
        </w:rPr>
        <w:t> </w:t>
      </w: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p w:rsidR="009F6240" w:rsidRDefault="009F6240" w:rsidP="0062108B">
      <w:pPr>
        <w:shd w:val="clear" w:color="auto" w:fill="FFFFFF"/>
        <w:spacing w:after="0" w:line="276" w:lineRule="auto"/>
        <w:rPr>
          <w:rFonts w:eastAsia="Times New Roman" w:cs="Times New Roman"/>
          <w:color w:val="000000"/>
          <w:szCs w:val="28"/>
          <w:shd w:val="clear" w:color="auto" w:fill="FFFFFF"/>
        </w:rPr>
      </w:pPr>
    </w:p>
    <w:sectPr w:rsidR="009F6240" w:rsidSect="0062108B">
      <w:pgSz w:w="11907" w:h="16840" w:code="9"/>
      <w:pgMar w:top="1134" w:right="141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84"/>
    <w:rsid w:val="00006362"/>
    <w:rsid w:val="0017775F"/>
    <w:rsid w:val="001B2E4C"/>
    <w:rsid w:val="004E1676"/>
    <w:rsid w:val="00525D32"/>
    <w:rsid w:val="005A69C2"/>
    <w:rsid w:val="0062108B"/>
    <w:rsid w:val="007E2784"/>
    <w:rsid w:val="008328D4"/>
    <w:rsid w:val="009E67C9"/>
    <w:rsid w:val="009F6240"/>
    <w:rsid w:val="00BB6860"/>
    <w:rsid w:val="00F72972"/>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E1BC"/>
  <w15:docId w15:val="{9D615E5E-E839-4DD3-AE72-2117C227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82696">
      <w:bodyDiv w:val="1"/>
      <w:marLeft w:val="0"/>
      <w:marRight w:val="0"/>
      <w:marTop w:val="0"/>
      <w:marBottom w:val="0"/>
      <w:divBdr>
        <w:top w:val="none" w:sz="0" w:space="0" w:color="auto"/>
        <w:left w:val="none" w:sz="0" w:space="0" w:color="auto"/>
        <w:bottom w:val="none" w:sz="0" w:space="0" w:color="auto"/>
        <w:right w:val="none" w:sz="0" w:space="0" w:color="auto"/>
      </w:divBdr>
      <w:divsChild>
        <w:div w:id="26102055">
          <w:marLeft w:val="0"/>
          <w:marRight w:val="0"/>
          <w:marTop w:val="0"/>
          <w:marBottom w:val="0"/>
          <w:divBdr>
            <w:top w:val="dotted" w:sz="8" w:space="1" w:color="auto"/>
            <w:left w:val="dotted" w:sz="8" w:space="4" w:color="auto"/>
            <w:bottom w:val="dotted" w:sz="8" w:space="1" w:color="auto"/>
            <w:right w:val="dotted"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cp:lastPrinted>2023-10-24T03:14:00Z</cp:lastPrinted>
  <dcterms:created xsi:type="dcterms:W3CDTF">2023-10-09T08:20:00Z</dcterms:created>
  <dcterms:modified xsi:type="dcterms:W3CDTF">2023-11-02T08:02:00Z</dcterms:modified>
</cp:coreProperties>
</file>